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91" w:rsidRPr="00A3294C" w:rsidRDefault="006D1B91" w:rsidP="006D1B91">
      <w:pPr>
        <w:spacing w:after="0" w:line="240" w:lineRule="auto"/>
        <w:outlineLvl w:val="1"/>
        <w:rPr>
          <w:rFonts w:ascii="Times New Roman" w:eastAsia="Times New Roman" w:hAnsi="Times New Roman" w:cs="Times New Roman"/>
          <w:color w:val="FF0000"/>
          <w:sz w:val="24"/>
          <w:szCs w:val="24"/>
          <w:lang w:eastAsia="ru-RU"/>
        </w:rPr>
      </w:pPr>
      <w:r w:rsidRPr="00A3294C">
        <w:rPr>
          <w:rFonts w:ascii="Times New Roman" w:eastAsia="Times New Roman" w:hAnsi="Times New Roman" w:cs="Times New Roman"/>
          <w:color w:val="FF0000"/>
          <w:sz w:val="24"/>
          <w:szCs w:val="24"/>
          <w:lang w:eastAsia="ru-RU"/>
        </w:rPr>
        <w:t>Halk Edebiyatı</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Türklerin XI. yy'dan başlayarak yurt edindikleri Anadolu'da sözlü geleneğin bir devamı olarak günümüze kadar sürdürülen sözlü edebiyata, "halk edebiyatı" adı verilir. Kaynağını geleneklerden, halkın kültüründen alan Halk Edebiyatı, İslamiyet öncesi sözlü edebiyatın uzantısıdır. Halkın duygu ve düşüncelerini, yaşama ve dünyaya bakışını yansıtır. Dil, biçim, konular, duyarlıklar bakımından halk kültürüne sıkı sıkıya bağlıdır.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b/>
          <w:bCs/>
          <w:sz w:val="24"/>
          <w:szCs w:val="24"/>
          <w:lang w:eastAsia="ru-RU"/>
        </w:rPr>
        <w:t>Halk Edebiyatı’nın Genel Özellikleri</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-Dil ve anlatımda süslü söyleyişe yöneliş yoktur. Genellikle yalın anlatım kullanılır.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 Edebiyatı ürünlerinde söylendikleri, yaşatıldıkları devir ve çevrenin yaygın Türkçesi kullanılmıştır.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-Halkın içinden doğan eserler, konu, tema ve duyarlık bakımından halkın hayatına sıkı sıkıya bağlıdır.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-Aşk, doğa, ayrılık, özlem, ölüm, din, tasavvuf konularının yanı sıra toplum hayatını ilgilendiren sorunlar da işlenir. Biçimden çok konuya ağırlık verilmiştir.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-Şiirde nazım birimi genellikle dörtlüktür. Yaygın olarak hece ölçüsü kullanılmıştır. Hecenin en çok 7’li, 8’li ve 11’li kalıpları kullanılmıştır. Fakat şehirde yaşamış, medrese eğitimi almış bazı ozanlar aruzu da kullanmışlardır.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-Şiirler işledikleri konuya göre güzelleme, koçaklama, ağıt ve taşlama, ilahi… gibi adlar almışlardır.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-Şiirlerde koşma, türkü, mani, destan, semâî… gibi değişik nazım şekilleri kullanılmıştır.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 deyimlerine ve güzel halk söyleyişlerine yer verilir.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-Şiirlerin başlığı yoktur, Nazım şekilleri ile adlandırılır.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-Genellikle yarım kafiye kullanılır. Daha çok redifle ahenk sağlanır. Kafiyenin yanı sıra “ayak” da söz konusudur.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 edebiyatında nesirle oluşturulmuş zengin bir edebiyat geleneği de bulunmaktadır. Nesir örnekleri arasında halk masalları, halk hikâyeleri, efsaneler, atasözleri, deyimler, halk tiyatrosu, bilmeceler, fıkralar sayılabilir.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 edebiyatı gözleme dayalıdır. Benzetmeler somut kavramlardan yararlanılarak yapılır. Sözü edilenlerin hemen hepsi gerçek yaşamdan alınmadır.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sz w:val="24"/>
          <w:szCs w:val="24"/>
          <w:lang w:eastAsia="ru-RU"/>
        </w:rPr>
        <w:t>Halk edebiyatı, ortaya konan ürünlerin gösterdiği biçim ve içerik özelliklerine göre üç bölüme ayrılır:</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b/>
          <w:bCs/>
          <w:sz w:val="24"/>
          <w:szCs w:val="24"/>
          <w:lang w:eastAsia="ru-RU"/>
        </w:rPr>
        <w:t>1) </w:t>
      </w:r>
      <w:r w:rsidRPr="006D1B91">
        <w:rPr>
          <w:rFonts w:ascii="Times New Roman" w:eastAsia="Times New Roman" w:hAnsi="Times New Roman" w:cs="Times New Roman"/>
          <w:sz w:val="24"/>
          <w:szCs w:val="24"/>
          <w:lang w:eastAsia="ru-RU"/>
        </w:rPr>
        <w:t>Anonim (Ortak) Halk edebiyatı</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b/>
          <w:bCs/>
          <w:sz w:val="24"/>
          <w:szCs w:val="24"/>
          <w:lang w:eastAsia="ru-RU"/>
        </w:rPr>
        <w:t>2)</w:t>
      </w:r>
      <w:r w:rsidRPr="006D1B91">
        <w:rPr>
          <w:rFonts w:ascii="Times New Roman" w:eastAsia="Times New Roman" w:hAnsi="Times New Roman" w:cs="Times New Roman"/>
          <w:sz w:val="24"/>
          <w:szCs w:val="24"/>
          <w:lang w:eastAsia="ru-RU"/>
        </w:rPr>
        <w:t> Âşık Edebiyatı  </w:t>
      </w:r>
    </w:p>
    <w:p w:rsidR="006D1B91" w:rsidRPr="006D1B91" w:rsidRDefault="006D1B91" w:rsidP="006D1B91">
      <w:pPr>
        <w:spacing w:after="0" w:line="345" w:lineRule="atLeast"/>
        <w:jc w:val="both"/>
        <w:rPr>
          <w:rFonts w:ascii="Times New Roman" w:eastAsia="Times New Roman" w:hAnsi="Times New Roman" w:cs="Times New Roman"/>
          <w:sz w:val="24"/>
          <w:szCs w:val="24"/>
          <w:lang w:eastAsia="ru-RU"/>
        </w:rPr>
      </w:pPr>
      <w:r w:rsidRPr="006D1B91">
        <w:rPr>
          <w:rFonts w:ascii="Times New Roman" w:eastAsia="Times New Roman" w:hAnsi="Times New Roman" w:cs="Times New Roman"/>
          <w:b/>
          <w:bCs/>
          <w:sz w:val="24"/>
          <w:szCs w:val="24"/>
          <w:lang w:eastAsia="ru-RU"/>
        </w:rPr>
        <w:t>3)</w:t>
      </w:r>
      <w:r w:rsidRPr="006D1B91">
        <w:rPr>
          <w:rFonts w:ascii="Times New Roman" w:eastAsia="Times New Roman" w:hAnsi="Times New Roman" w:cs="Times New Roman"/>
          <w:sz w:val="24"/>
          <w:szCs w:val="24"/>
          <w:lang w:eastAsia="ru-RU"/>
        </w:rPr>
        <w:t> Tekke (Tasavvuf) Edebi</w:t>
      </w:r>
      <w:bookmarkStart w:id="0" w:name="_GoBack"/>
      <w:bookmarkEnd w:id="0"/>
      <w:r w:rsidRPr="006D1B91">
        <w:rPr>
          <w:rFonts w:ascii="Times New Roman" w:eastAsia="Times New Roman" w:hAnsi="Times New Roman" w:cs="Times New Roman"/>
          <w:sz w:val="24"/>
          <w:szCs w:val="24"/>
          <w:lang w:eastAsia="ru-RU"/>
        </w:rPr>
        <w:t>yatı </w:t>
      </w:r>
    </w:p>
    <w:sectPr w:rsidR="006D1B91" w:rsidRPr="006D1B91" w:rsidSect="006D1B9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546C"/>
    <w:multiLevelType w:val="multilevel"/>
    <w:tmpl w:val="DAAC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91"/>
    <w:rsid w:val="00487B4E"/>
    <w:rsid w:val="006D1B91"/>
    <w:rsid w:val="00A3294C"/>
    <w:rsid w:val="00E94AED"/>
    <w:rsid w:val="00FA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1B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1B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1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B91"/>
    <w:rPr>
      <w:b/>
      <w:bCs/>
    </w:rPr>
  </w:style>
  <w:style w:type="character" w:styleId="a5">
    <w:name w:val="Hyperlink"/>
    <w:basedOn w:val="a0"/>
    <w:uiPriority w:val="99"/>
    <w:semiHidden/>
    <w:unhideWhenUsed/>
    <w:rsid w:val="006D1B91"/>
    <w:rPr>
      <w:color w:val="0000FF"/>
      <w:u w:val="single"/>
    </w:rPr>
  </w:style>
  <w:style w:type="character" w:customStyle="1" w:styleId="nv2">
    <w:name w:val="nv2"/>
    <w:basedOn w:val="a0"/>
    <w:rsid w:val="006D1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1B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1B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1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B91"/>
    <w:rPr>
      <w:b/>
      <w:bCs/>
    </w:rPr>
  </w:style>
  <w:style w:type="character" w:styleId="a5">
    <w:name w:val="Hyperlink"/>
    <w:basedOn w:val="a0"/>
    <w:uiPriority w:val="99"/>
    <w:semiHidden/>
    <w:unhideWhenUsed/>
    <w:rsid w:val="006D1B91"/>
    <w:rPr>
      <w:color w:val="0000FF"/>
      <w:u w:val="single"/>
    </w:rPr>
  </w:style>
  <w:style w:type="character" w:customStyle="1" w:styleId="nv2">
    <w:name w:val="nv2"/>
    <w:basedOn w:val="a0"/>
    <w:rsid w:val="006D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26665">
      <w:bodyDiv w:val="1"/>
      <w:marLeft w:val="0"/>
      <w:marRight w:val="0"/>
      <w:marTop w:val="0"/>
      <w:marBottom w:val="0"/>
      <w:divBdr>
        <w:top w:val="none" w:sz="0" w:space="0" w:color="auto"/>
        <w:left w:val="none" w:sz="0" w:space="0" w:color="auto"/>
        <w:bottom w:val="none" w:sz="0" w:space="0" w:color="auto"/>
        <w:right w:val="none" w:sz="0" w:space="0" w:color="auto"/>
      </w:divBdr>
      <w:divsChild>
        <w:div w:id="893274646">
          <w:marLeft w:val="0"/>
          <w:marRight w:val="0"/>
          <w:marTop w:val="0"/>
          <w:marBottom w:val="0"/>
          <w:divBdr>
            <w:top w:val="none" w:sz="0" w:space="0" w:color="auto"/>
            <w:left w:val="none" w:sz="0" w:space="0" w:color="auto"/>
            <w:bottom w:val="none" w:sz="0" w:space="0" w:color="auto"/>
            <w:right w:val="none" w:sz="0" w:space="0" w:color="auto"/>
          </w:divBdr>
          <w:divsChild>
            <w:div w:id="938561202">
              <w:marLeft w:val="0"/>
              <w:marRight w:val="0"/>
              <w:marTop w:val="0"/>
              <w:marBottom w:val="0"/>
              <w:divBdr>
                <w:top w:val="none" w:sz="0" w:space="0" w:color="auto"/>
                <w:left w:val="none" w:sz="0" w:space="0" w:color="auto"/>
                <w:bottom w:val="none" w:sz="0" w:space="0" w:color="auto"/>
                <w:right w:val="none" w:sz="0" w:space="0" w:color="auto"/>
              </w:divBdr>
              <w:divsChild>
                <w:div w:id="1194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2018-09-27T08:22:00Z</dcterms:created>
  <dcterms:modified xsi:type="dcterms:W3CDTF">2018-09-27T14:44:00Z</dcterms:modified>
</cp:coreProperties>
</file>